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DC4CA" w14:textId="77777777" w:rsidR="00035E7D" w:rsidRDefault="00035E7D">
      <w:pPr>
        <w:rPr>
          <w:rFonts w:ascii="仿宋" w:eastAsia="仿宋" w:hAnsi="仿宋"/>
          <w:b/>
          <w:sz w:val="52"/>
          <w:szCs w:val="52"/>
        </w:rPr>
      </w:pPr>
    </w:p>
    <w:p w14:paraId="0D63267E" w14:textId="77777777" w:rsidR="00035E7D" w:rsidRDefault="00416286">
      <w:pPr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隆平高科（河南）玉米种源创新中心控制性详细规划编制项目</w:t>
      </w:r>
    </w:p>
    <w:p w14:paraId="2FC87096" w14:textId="77777777" w:rsidR="00035E7D" w:rsidRDefault="00035E7D">
      <w:pPr>
        <w:jc w:val="center"/>
        <w:rPr>
          <w:rFonts w:ascii="仿宋" w:eastAsia="仿宋" w:hAnsi="仿宋"/>
          <w:b/>
          <w:sz w:val="44"/>
          <w:szCs w:val="44"/>
        </w:rPr>
      </w:pPr>
    </w:p>
    <w:p w14:paraId="379408E7" w14:textId="77777777" w:rsidR="00035E7D" w:rsidRDefault="00035E7D">
      <w:pPr>
        <w:jc w:val="center"/>
        <w:rPr>
          <w:rFonts w:ascii="方正小标宋简体" w:eastAsia="方正小标宋简体" w:hAnsi="仿宋"/>
          <w:b/>
          <w:sz w:val="60"/>
          <w:szCs w:val="60"/>
        </w:rPr>
      </w:pPr>
    </w:p>
    <w:p w14:paraId="45265AA9" w14:textId="77777777" w:rsidR="00035E7D" w:rsidRDefault="00035E7D">
      <w:pPr>
        <w:jc w:val="center"/>
        <w:rPr>
          <w:rFonts w:ascii="方正小标宋简体" w:eastAsia="方正小标宋简体" w:hAnsi="仿宋"/>
          <w:b/>
          <w:sz w:val="60"/>
          <w:szCs w:val="60"/>
        </w:rPr>
      </w:pPr>
    </w:p>
    <w:p w14:paraId="6B70EFF1" w14:textId="77777777" w:rsidR="00035E7D" w:rsidRDefault="00035E7D">
      <w:pPr>
        <w:jc w:val="center"/>
        <w:rPr>
          <w:rFonts w:ascii="方正小标宋简体" w:eastAsia="方正小标宋简体" w:hAnsi="仿宋"/>
          <w:b/>
          <w:sz w:val="60"/>
          <w:szCs w:val="60"/>
        </w:rPr>
      </w:pPr>
    </w:p>
    <w:p w14:paraId="66B1D5A1" w14:textId="77777777" w:rsidR="00035E7D" w:rsidRDefault="00416286">
      <w:pPr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磋商文件</w:t>
      </w:r>
    </w:p>
    <w:p w14:paraId="4F5D5CAD" w14:textId="77777777" w:rsidR="00035E7D" w:rsidRDefault="00035E7D">
      <w:pPr>
        <w:jc w:val="center"/>
        <w:rPr>
          <w:rFonts w:ascii="仿宋" w:eastAsia="仿宋" w:hAnsi="仿宋"/>
          <w:b/>
          <w:sz w:val="36"/>
          <w:szCs w:val="36"/>
        </w:rPr>
      </w:pPr>
    </w:p>
    <w:p w14:paraId="4BB934DC" w14:textId="77777777" w:rsidR="00035E7D" w:rsidRDefault="00035E7D">
      <w:pPr>
        <w:jc w:val="center"/>
        <w:rPr>
          <w:rFonts w:ascii="仿宋" w:eastAsia="仿宋" w:hAnsi="仿宋"/>
          <w:b/>
          <w:sz w:val="36"/>
          <w:szCs w:val="36"/>
        </w:rPr>
      </w:pPr>
    </w:p>
    <w:p w14:paraId="1B2DB7DD" w14:textId="77777777" w:rsidR="00035E7D" w:rsidRDefault="00035E7D">
      <w:pPr>
        <w:jc w:val="center"/>
        <w:rPr>
          <w:rFonts w:ascii="仿宋" w:eastAsia="仿宋" w:hAnsi="仿宋"/>
          <w:b/>
          <w:sz w:val="36"/>
          <w:szCs w:val="36"/>
        </w:rPr>
      </w:pPr>
    </w:p>
    <w:p w14:paraId="43F347E4" w14:textId="77777777" w:rsidR="00035E7D" w:rsidRDefault="00035E7D">
      <w:pPr>
        <w:jc w:val="center"/>
        <w:rPr>
          <w:rFonts w:ascii="仿宋" w:eastAsia="仿宋" w:hAnsi="仿宋"/>
          <w:b/>
          <w:sz w:val="36"/>
          <w:szCs w:val="36"/>
        </w:rPr>
      </w:pPr>
    </w:p>
    <w:p w14:paraId="6719CEEA" w14:textId="77777777" w:rsidR="00035E7D" w:rsidRDefault="00035E7D">
      <w:pPr>
        <w:jc w:val="center"/>
        <w:rPr>
          <w:rFonts w:ascii="仿宋" w:eastAsia="仿宋" w:hAnsi="仿宋"/>
          <w:b/>
          <w:sz w:val="36"/>
          <w:szCs w:val="36"/>
        </w:rPr>
      </w:pPr>
    </w:p>
    <w:p w14:paraId="6423E616" w14:textId="77777777" w:rsidR="00035E7D" w:rsidRDefault="00416286">
      <w:pPr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北京联创种业有限公司郑州分公司</w:t>
      </w:r>
    </w:p>
    <w:p w14:paraId="503EB63A" w14:textId="77777777" w:rsidR="00035E7D" w:rsidRDefault="00416286">
      <w:pPr>
        <w:ind w:firstLineChars="690" w:firstLine="3048"/>
        <w:rPr>
          <w:rFonts w:ascii="仿宋" w:eastAsia="仿宋" w:hAnsi="仿宋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2026</w:t>
      </w:r>
      <w:r>
        <w:rPr>
          <w:rFonts w:ascii="仿宋" w:eastAsia="仿宋" w:hAnsi="仿宋" w:hint="eastAsia"/>
          <w:b/>
          <w:sz w:val="44"/>
          <w:szCs w:val="44"/>
        </w:rPr>
        <w:t>年</w:t>
      </w:r>
      <w:r>
        <w:rPr>
          <w:rFonts w:ascii="仿宋" w:eastAsia="仿宋" w:hAnsi="仿宋" w:hint="eastAsia"/>
          <w:b/>
          <w:sz w:val="44"/>
          <w:szCs w:val="44"/>
        </w:rPr>
        <w:t>3</w:t>
      </w:r>
      <w:r>
        <w:rPr>
          <w:rFonts w:ascii="仿宋" w:eastAsia="仿宋" w:hAnsi="仿宋" w:hint="eastAsia"/>
          <w:b/>
          <w:sz w:val="44"/>
          <w:szCs w:val="44"/>
        </w:rPr>
        <w:t>月</w:t>
      </w:r>
    </w:p>
    <w:p w14:paraId="10E1BFEA" w14:textId="77777777" w:rsidR="00035E7D" w:rsidRDefault="00035E7D">
      <w:pPr>
        <w:rPr>
          <w:rFonts w:ascii="仿宋" w:eastAsia="仿宋" w:hAnsi="仿宋"/>
        </w:rPr>
      </w:pPr>
    </w:p>
    <w:p w14:paraId="68DEC9BE" w14:textId="68095C3B" w:rsidR="00035E7D" w:rsidRPr="004D691C" w:rsidRDefault="00416286" w:rsidP="004D691C">
      <w:pPr>
        <w:widowControl/>
        <w:jc w:val="left"/>
        <w:rPr>
          <w:rFonts w:ascii="黑体" w:eastAsia="黑体" w:hAnsi="黑体" w:cs="宋体" w:hint="eastAsia"/>
          <w:b/>
          <w:bCs/>
          <w:kern w:val="0"/>
          <w:sz w:val="36"/>
          <w:szCs w:val="36"/>
        </w:rPr>
      </w:pPr>
      <w:r>
        <w:rPr>
          <w:rFonts w:ascii="黑体" w:eastAsia="黑体" w:hAnsi="黑体" w:cs="宋体"/>
          <w:b/>
          <w:bCs/>
          <w:kern w:val="0"/>
          <w:sz w:val="36"/>
          <w:szCs w:val="36"/>
        </w:rPr>
        <w:br w:type="page"/>
      </w:r>
    </w:p>
    <w:p w14:paraId="45EE7B3B" w14:textId="77777777" w:rsidR="00035E7D" w:rsidRDefault="00035E7D">
      <w:pPr>
        <w:pStyle w:val="2"/>
      </w:pPr>
    </w:p>
    <w:p w14:paraId="68FA4DEA" w14:textId="77777777" w:rsidR="00035E7D" w:rsidRDefault="00416286">
      <w:pPr>
        <w:spacing w:beforeLines="100" w:before="312" w:afterLines="100" w:after="312" w:line="520" w:lineRule="exact"/>
        <w:jc w:val="center"/>
        <w:outlineLvl w:val="0"/>
        <w:rPr>
          <w:rFonts w:ascii="黑体" w:eastAsia="黑体" w:hAnsi="黑体" w:cs="宋体"/>
          <w:b/>
          <w:bCs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第二部分</w:t>
      </w:r>
      <w:r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 xml:space="preserve">   </w:t>
      </w:r>
      <w:r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磋商程序及供应商须知</w:t>
      </w:r>
    </w:p>
    <w:p w14:paraId="658BEEC9" w14:textId="77777777" w:rsidR="00035E7D" w:rsidRDefault="00416286">
      <w:pPr>
        <w:ind w:firstLineChars="200" w:firstLine="602"/>
        <w:rPr>
          <w:rFonts w:ascii="仿宋" w:eastAsia="仿宋" w:hAnsi="仿宋"/>
          <w:b/>
          <w:sz w:val="30"/>
          <w:szCs w:val="30"/>
        </w:rPr>
      </w:pPr>
      <w:bookmarkStart w:id="0" w:name="_Toc13354"/>
      <w:r>
        <w:rPr>
          <w:rFonts w:ascii="仿宋" w:eastAsia="仿宋" w:hAnsi="仿宋" w:hint="eastAsia"/>
          <w:b/>
          <w:sz w:val="30"/>
          <w:szCs w:val="30"/>
        </w:rPr>
        <w:t>一、磋商程序</w:t>
      </w:r>
    </w:p>
    <w:p w14:paraId="44547A9F" w14:textId="77777777" w:rsidR="00035E7D" w:rsidRDefault="00416286">
      <w:pPr>
        <w:spacing w:line="58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（一）供应商获取磋商文件、</w:t>
      </w:r>
      <w:r>
        <w:rPr>
          <w:rFonts w:ascii="仿宋" w:eastAsia="仿宋" w:hAnsi="仿宋" w:cs="宋体" w:hint="eastAsia"/>
          <w:kern w:val="0"/>
          <w:sz w:val="30"/>
          <w:szCs w:val="30"/>
        </w:rPr>
        <w:t>递</w:t>
      </w:r>
      <w:r>
        <w:rPr>
          <w:rFonts w:ascii="仿宋" w:eastAsia="仿宋" w:hAnsi="仿宋" w:hint="eastAsia"/>
          <w:sz w:val="30"/>
          <w:szCs w:val="30"/>
        </w:rPr>
        <w:t>交响应文件</w:t>
      </w:r>
      <w:r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14:paraId="77F10B49" w14:textId="77777777" w:rsidR="00035E7D" w:rsidRDefault="00416286">
      <w:pPr>
        <w:spacing w:line="58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（二）组建评审小组，由北京联创种业有限公司郑州分公司组成三人（或以上）的评审小组，负责对参加的供应商响应文件进行评审、打分、排序；</w:t>
      </w:r>
    </w:p>
    <w:p w14:paraId="754AF470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（三）对响应文件进行评审、打分、排序；</w:t>
      </w:r>
      <w:r>
        <w:rPr>
          <w:rFonts w:ascii="仿宋" w:eastAsia="仿宋" w:hAnsi="仿宋" w:cs="宋体" w:hint="eastAsia"/>
          <w:kern w:val="0"/>
          <w:sz w:val="30"/>
          <w:szCs w:val="30"/>
        </w:rPr>
        <w:t>按照《评审办法》，评审小组对供应商分别进行独立打分，以得分高低进行排名，最终得分最高的供应商即为成交人。</w:t>
      </w:r>
      <w:r>
        <w:rPr>
          <w:rFonts w:ascii="仿宋" w:eastAsia="仿宋" w:hAnsi="仿宋" w:hint="eastAsia"/>
          <w:sz w:val="30"/>
          <w:szCs w:val="30"/>
        </w:rPr>
        <w:t>对未成交供应商，将不作任何解释。</w:t>
      </w:r>
    </w:p>
    <w:bookmarkEnd w:id="0"/>
    <w:p w14:paraId="579075E1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（四）发布成交结果。</w:t>
      </w:r>
    </w:p>
    <w:p w14:paraId="5C07290E" w14:textId="77777777" w:rsidR="00035E7D" w:rsidRDefault="00416286">
      <w:pPr>
        <w:ind w:firstLineChars="200" w:firstLine="602"/>
        <w:rPr>
          <w:rFonts w:ascii="仿宋" w:eastAsia="仿宋" w:hAnsi="仿宋"/>
          <w:b/>
          <w:sz w:val="30"/>
          <w:szCs w:val="30"/>
        </w:rPr>
      </w:pPr>
      <w:bookmarkStart w:id="1" w:name="_Toc5309"/>
      <w:r>
        <w:rPr>
          <w:rFonts w:ascii="仿宋" w:eastAsia="仿宋" w:hAnsi="仿宋" w:hint="eastAsia"/>
          <w:b/>
          <w:sz w:val="30"/>
          <w:szCs w:val="30"/>
        </w:rPr>
        <w:t>二、供应商须知</w:t>
      </w:r>
    </w:p>
    <w:p w14:paraId="19BEE2A4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（一）采购需求（详见磋商公告）</w:t>
      </w:r>
    </w:p>
    <w:p w14:paraId="4B097E47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（二）规划编制核心要求</w:t>
      </w:r>
    </w:p>
    <w:p w14:paraId="463E3552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</w:t>
      </w:r>
      <w:r>
        <w:rPr>
          <w:rFonts w:ascii="仿宋" w:eastAsia="仿宋" w:hAnsi="仿宋" w:hint="eastAsia"/>
          <w:sz w:val="30"/>
          <w:szCs w:val="30"/>
        </w:rPr>
        <w:t>编制依据</w:t>
      </w:r>
    </w:p>
    <w:p w14:paraId="5B906839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严格遵循《中华人民共和国城乡规划法》《城市用地分类与规划建设用地标准》《城市控制性详细规划编制规</w:t>
      </w:r>
      <w:r>
        <w:rPr>
          <w:rFonts w:ascii="仿宋" w:eastAsia="仿宋" w:hAnsi="仿宋" w:hint="eastAsia"/>
          <w:sz w:val="30"/>
          <w:szCs w:val="30"/>
        </w:rPr>
        <w:t>范》《国土空间规划城市规划编制技术指南》等国家、省、市现行法律法规、技术标准及规范；衔接上位国土空间总体规划、区域控制性详细规划、交通、市政、生态环保等相关专项规划；结合地块现状条件、周边发展格局及采购人发展诉求，确保规划合法合规、科学可行。</w:t>
      </w:r>
    </w:p>
    <w:p w14:paraId="4DFB3FF4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</w:t>
      </w:r>
      <w:r>
        <w:rPr>
          <w:rFonts w:ascii="仿宋" w:eastAsia="仿宋" w:hAnsi="仿宋" w:hint="eastAsia"/>
          <w:sz w:val="30"/>
          <w:szCs w:val="30"/>
        </w:rPr>
        <w:t>核心规划内容</w:t>
      </w:r>
    </w:p>
    <w:p w14:paraId="3AD14709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用地规划布局：精准划定地块用地边界，确定各类用地性质、用地面积及比例，优化用地布局，兼顾开发效益与公共利益，符合上位规划管控要求。</w:t>
      </w:r>
    </w:p>
    <w:p w14:paraId="099F047B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规划指标管控：科学确定地块容积率、建筑密度、绿地率、建筑高度、计容建筑面积等核心管控指标，明确禁建区、限建区、适建区，</w:t>
      </w:r>
      <w:r>
        <w:rPr>
          <w:rFonts w:ascii="仿宋" w:eastAsia="仿宋" w:hAnsi="仿宋" w:hint="eastAsia"/>
          <w:sz w:val="30"/>
          <w:szCs w:val="30"/>
        </w:rPr>
        <w:t>细化地块开发建设管控要求。</w:t>
      </w:r>
    </w:p>
    <w:p w14:paraId="347B9EDA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配套设施规划：统筹配置公共服务设施、市政公用设施、交通设施、绿地景观等，明确设施位置、规模、用地标准，满足地块及周边区域使用需求，保障配套完善。</w:t>
      </w:r>
    </w:p>
    <w:p w14:paraId="0589E592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道路交通规划：优化地块内部道路网布局，衔接周边城市道路，明确道路红线宽度、断面形式、交通出入口方位、停车泊位配置等，保障交通顺畅。</w:t>
      </w:r>
    </w:p>
    <w:p w14:paraId="1638B363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市政工程规划：完善给水、排水、电力、通信、燃气、环卫等市政管线规划，确定管线走向、管径、敷设方式及设施点位，满足地块开发建设的市政配套需求。</w:t>
      </w:r>
    </w:p>
    <w:p w14:paraId="184689ED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空间形态管控：明确建筑风貌、空间界面、景观格局等管控要求，塑造高</w:t>
      </w:r>
      <w:r>
        <w:rPr>
          <w:rFonts w:ascii="仿宋" w:eastAsia="仿宋" w:hAnsi="仿宋" w:hint="eastAsia"/>
          <w:sz w:val="30"/>
          <w:szCs w:val="30"/>
        </w:rPr>
        <w:t>品质城市空间，兼顾实用性与美观性。</w:t>
      </w:r>
    </w:p>
    <w:p w14:paraId="6525FBF9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</w:t>
      </w:r>
      <w:r>
        <w:rPr>
          <w:rFonts w:ascii="仿宋" w:eastAsia="仿宋" w:hAnsi="仿宋" w:hint="eastAsia"/>
          <w:sz w:val="30"/>
          <w:szCs w:val="30"/>
        </w:rPr>
        <w:t>编制质量要求</w:t>
      </w:r>
    </w:p>
    <w:p w14:paraId="7D40661B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规划成果需具备科学性、前瞻性、可操作性，充分贴合地块实际情况，满足土地出让、规划审批、开发建设的全流程需求；方案需经过多轮论证优化，充分征求相关部门、专家及采购人意见，确保通过专家评审及行政审批；规划数据精准、内容完整，无遗漏、</w:t>
      </w:r>
      <w:r>
        <w:rPr>
          <w:rFonts w:ascii="仿宋" w:eastAsia="仿宋" w:hAnsi="仿宋" w:hint="eastAsia"/>
          <w:sz w:val="30"/>
          <w:szCs w:val="30"/>
        </w:rPr>
        <w:lastRenderedPageBreak/>
        <w:t>无矛盾，符合法定规划成果编制标准。</w:t>
      </w:r>
    </w:p>
    <w:p w14:paraId="2A9A142B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（三）规划成果要求</w:t>
      </w:r>
    </w:p>
    <w:p w14:paraId="740480EC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</w:t>
      </w:r>
      <w:r>
        <w:rPr>
          <w:rFonts w:ascii="仿宋" w:eastAsia="仿宋" w:hAnsi="仿宋" w:hint="eastAsia"/>
          <w:sz w:val="30"/>
          <w:szCs w:val="30"/>
        </w:rPr>
        <w:t>成果内容</w:t>
      </w:r>
    </w:p>
    <w:p w14:paraId="6BD2CCA0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规划成果需包含法定文件、技术文件、图件成果、数据库成果四大类，具体如下：</w:t>
      </w:r>
    </w:p>
    <w:p w14:paraId="11010FBD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法定文件：控制性详细规划文本、规划说明书、规划审批表、征求意见及采纳情况说明、专家评审意见及修改说明等。</w:t>
      </w:r>
    </w:p>
    <w:p w14:paraId="70C571A4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技术文件：现状调研报告、用地分析报告、指标论证报告、专项分析报告（交通、市政、生态等）等。</w:t>
      </w:r>
    </w:p>
    <w:p w14:paraId="61A59251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图件成果：区位分析图、国土空间利用现状图、国土空间利用规划图、规划指标图、道路体系结构图、道路规划图、道路断面规划图、市政工程规划图、公共服务设施规划图、绿地景观规划图、建筑高度控制图、“城市控制线”（红线、绿线、蓝线、紫线、黄线）等全套规划图纸。</w:t>
      </w:r>
    </w:p>
    <w:p w14:paraId="27EB2371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数据库成果：规划成果矢量数据库、</w:t>
      </w:r>
      <w:r>
        <w:rPr>
          <w:rFonts w:ascii="仿宋" w:eastAsia="仿宋" w:hAnsi="仿宋" w:hint="eastAsia"/>
          <w:sz w:val="30"/>
          <w:szCs w:val="30"/>
        </w:rPr>
        <w:t>GIS</w:t>
      </w:r>
      <w:r>
        <w:rPr>
          <w:rFonts w:ascii="仿宋" w:eastAsia="仿宋" w:hAnsi="仿宋" w:hint="eastAsia"/>
          <w:sz w:val="30"/>
          <w:szCs w:val="30"/>
        </w:rPr>
        <w:t>数据、</w:t>
      </w:r>
      <w:r>
        <w:rPr>
          <w:rFonts w:ascii="仿宋" w:eastAsia="仿宋" w:hAnsi="仿宋" w:hint="eastAsia"/>
          <w:sz w:val="30"/>
          <w:szCs w:val="30"/>
        </w:rPr>
        <w:t>CAD</w:t>
      </w:r>
      <w:r>
        <w:rPr>
          <w:rFonts w:ascii="仿宋" w:eastAsia="仿宋" w:hAnsi="仿宋" w:hint="eastAsia"/>
          <w:sz w:val="30"/>
          <w:szCs w:val="30"/>
        </w:rPr>
        <w:t>图纸文件等，符合当地自然资源部门数据入库标准。</w:t>
      </w:r>
    </w:p>
    <w:p w14:paraId="02BB5CC1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</w:t>
      </w:r>
      <w:r>
        <w:rPr>
          <w:rFonts w:ascii="仿宋" w:eastAsia="仿宋" w:hAnsi="仿宋" w:hint="eastAsia"/>
          <w:sz w:val="30"/>
          <w:szCs w:val="30"/>
        </w:rPr>
        <w:t>成果形式</w:t>
      </w:r>
    </w:p>
    <w:p w14:paraId="68E1FC27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纸质成果：规划文本、说明书、图册各</w:t>
      </w: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套，采用精装装订，规格统一，内容清晰，签章齐全。</w:t>
      </w:r>
    </w:p>
    <w:p w14:paraId="40934C2C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电子成果：全套成果电子版文件（</w:t>
      </w:r>
      <w:r>
        <w:rPr>
          <w:rFonts w:ascii="仿宋" w:eastAsia="仿宋" w:hAnsi="仿宋" w:hint="eastAsia"/>
          <w:sz w:val="30"/>
          <w:szCs w:val="30"/>
        </w:rPr>
        <w:t>Word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PDF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CAD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GIS</w:t>
      </w:r>
      <w:r>
        <w:rPr>
          <w:rFonts w:ascii="仿宋" w:eastAsia="仿宋" w:hAnsi="仿宋" w:hint="eastAsia"/>
          <w:sz w:val="30"/>
          <w:szCs w:val="30"/>
        </w:rPr>
        <w:t>等</w:t>
      </w:r>
      <w:r>
        <w:rPr>
          <w:rFonts w:ascii="仿宋" w:eastAsia="仿宋" w:hAnsi="仿宋" w:hint="eastAsia"/>
          <w:sz w:val="30"/>
          <w:szCs w:val="30"/>
        </w:rPr>
        <w:t>格式），刻录光盘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套，同时提供电子版文件传输服务，确保文件可编辑、可查阅、可入库。</w:t>
      </w:r>
    </w:p>
    <w:p w14:paraId="6DDE02F5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成果需加盖供应商公章、注册城乡规划师签章，确保成果合法有效，满足审批及归档要求。</w:t>
      </w:r>
    </w:p>
    <w:p w14:paraId="79245C13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（四）报价要求</w:t>
      </w:r>
    </w:p>
    <w:p w14:paraId="02ED347A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项目采用总价包干报价，报价包含项目现状调研、资料收集、方案编制、专家评审、成果制作、报批报审、税费、差旅费、技术服务等完成本项目所需的全部费用，采购人不再支付任何额外费用。供应商需结合项目实际、市场行情及自身实力自主报价，报价不得超过最高限价（具体以磋商文件载明为准），否则按无效投标处理。</w:t>
      </w:r>
    </w:p>
    <w:p w14:paraId="6102CB44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（五）付款方式</w:t>
      </w:r>
    </w:p>
    <w:p w14:paraId="433CCA38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合同签订且供应商进场</w:t>
      </w:r>
      <w:r>
        <w:rPr>
          <w:rFonts w:ascii="仿宋" w:eastAsia="仿宋" w:hAnsi="仿宋" w:hint="eastAsia"/>
          <w:sz w:val="30"/>
          <w:szCs w:val="30"/>
        </w:rPr>
        <w:t>开展工作后，采购人支付合同总价的</w:t>
      </w:r>
      <w:r>
        <w:rPr>
          <w:rFonts w:ascii="仿宋" w:eastAsia="仿宋" w:hAnsi="仿宋" w:hint="eastAsia"/>
          <w:sz w:val="30"/>
          <w:szCs w:val="30"/>
        </w:rPr>
        <w:t>30%</w:t>
      </w:r>
      <w:r>
        <w:rPr>
          <w:rFonts w:ascii="仿宋" w:eastAsia="仿宋" w:hAnsi="仿宋" w:hint="eastAsia"/>
          <w:sz w:val="30"/>
          <w:szCs w:val="30"/>
        </w:rPr>
        <w:t>作为预付款；规划初稿完成并通过采购人初步审核后，支付合同总价的</w:t>
      </w:r>
      <w:r>
        <w:rPr>
          <w:rFonts w:ascii="仿宋" w:eastAsia="仿宋" w:hAnsi="仿宋" w:hint="eastAsia"/>
          <w:sz w:val="30"/>
          <w:szCs w:val="30"/>
        </w:rPr>
        <w:t>20%</w:t>
      </w:r>
      <w:r>
        <w:rPr>
          <w:rFonts w:ascii="仿宋" w:eastAsia="仿宋" w:hAnsi="仿宋" w:hint="eastAsia"/>
          <w:sz w:val="30"/>
          <w:szCs w:val="30"/>
        </w:rPr>
        <w:t>；规划成果通过专家评审并完成修改完善后，支付合同总价的</w:t>
      </w:r>
      <w:r>
        <w:rPr>
          <w:rFonts w:ascii="仿宋" w:eastAsia="仿宋" w:hAnsi="仿宋" w:hint="eastAsia"/>
          <w:sz w:val="30"/>
          <w:szCs w:val="30"/>
        </w:rPr>
        <w:t>30%</w:t>
      </w:r>
      <w:r>
        <w:rPr>
          <w:rFonts w:ascii="仿宋" w:eastAsia="仿宋" w:hAnsi="仿宋" w:hint="eastAsia"/>
          <w:sz w:val="30"/>
          <w:szCs w:val="30"/>
        </w:rPr>
        <w:t>；规划成果获得有权审批部门正式批复、交付全部合格成果且完成资料归档后，支付剩余合同尾款。具体付款节点及比例以正式合同约定为准。</w:t>
      </w:r>
    </w:p>
    <w:p w14:paraId="0E26A103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（六）服务保障</w:t>
      </w:r>
    </w:p>
    <w:p w14:paraId="7AFB9B52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供应商需指派固定项目团队全程负责本项目，未经采购人同意不得擅自更换项目负责人及核心团队成员；项目实施期间，供应商需安排专人对接采购人，及时响应需求、汇报进度，配合采购人完成各项协调、报审工作；规划成果批</w:t>
      </w:r>
      <w:r>
        <w:rPr>
          <w:rFonts w:ascii="仿宋" w:eastAsia="仿宋" w:hAnsi="仿宋" w:hint="eastAsia"/>
          <w:sz w:val="30"/>
          <w:szCs w:val="30"/>
        </w:rPr>
        <w:t>复后，供应商需提供为期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年的免费技术答疑服务，协助解决规划实施过程中的技术问题。</w:t>
      </w:r>
    </w:p>
    <w:p w14:paraId="21829193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（七）响应文件要求</w:t>
      </w:r>
    </w:p>
    <w:p w14:paraId="291786C0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>1</w:t>
      </w:r>
      <w:r>
        <w:rPr>
          <w:rFonts w:ascii="仿宋" w:eastAsia="仿宋" w:hAnsi="仿宋" w:hint="eastAsia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响应文件一式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份，其中正本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份，副本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份；电子文档</w:t>
      </w:r>
      <w:r>
        <w:rPr>
          <w:rFonts w:ascii="仿宋" w:eastAsia="仿宋" w:hAnsi="仿宋" w:hint="eastAsia"/>
          <w:sz w:val="30"/>
          <w:szCs w:val="30"/>
        </w:rPr>
        <w:t>U</w:t>
      </w:r>
      <w:r>
        <w:rPr>
          <w:rFonts w:ascii="仿宋" w:eastAsia="仿宋" w:hAnsi="仿宋" w:hint="eastAsia"/>
          <w:sz w:val="30"/>
          <w:szCs w:val="30"/>
        </w:rPr>
        <w:t>盘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份。所有响应文件不退回。</w:t>
      </w:r>
    </w:p>
    <w:p w14:paraId="06993F22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响应文件内容：见第四部分</w:t>
      </w:r>
    </w:p>
    <w:p w14:paraId="4017A47D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</w:t>
      </w:r>
      <w:r>
        <w:rPr>
          <w:rFonts w:ascii="仿宋" w:eastAsia="仿宋" w:hAnsi="仿宋" w:hint="eastAsia"/>
          <w:sz w:val="30"/>
          <w:szCs w:val="30"/>
        </w:rPr>
        <w:t>响应文件制作按第四部分内容要求的顺序进行，未按要求制作的文件将被拒绝接受。</w:t>
      </w:r>
    </w:p>
    <w:p w14:paraId="660E1E88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</w:t>
      </w:r>
      <w:r>
        <w:rPr>
          <w:rFonts w:ascii="仿宋" w:eastAsia="仿宋" w:hAnsi="仿宋" w:hint="eastAsia"/>
          <w:sz w:val="30"/>
          <w:szCs w:val="30"/>
        </w:rPr>
        <w:t>供应商获取磋商文件即视为接受磋商文件要求。响应文件应当对磋商文件有关实质性内容作出响应。响应文件是协议不可分割的一部分。</w:t>
      </w:r>
    </w:p>
    <w:p w14:paraId="46B6406A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5.</w:t>
      </w:r>
      <w:r>
        <w:rPr>
          <w:rFonts w:ascii="仿宋" w:eastAsia="仿宋" w:hAnsi="仿宋" w:hint="eastAsia"/>
          <w:sz w:val="30"/>
          <w:szCs w:val="30"/>
        </w:rPr>
        <w:t>响应</w:t>
      </w:r>
      <w:r>
        <w:rPr>
          <w:rFonts w:ascii="仿宋" w:eastAsia="仿宋" w:hAnsi="仿宋"/>
          <w:sz w:val="30"/>
          <w:szCs w:val="30"/>
        </w:rPr>
        <w:t>文件的</w:t>
      </w:r>
      <w:r>
        <w:rPr>
          <w:rFonts w:ascii="仿宋" w:eastAsia="仿宋" w:hAnsi="仿宋" w:hint="eastAsia"/>
          <w:sz w:val="30"/>
          <w:szCs w:val="30"/>
        </w:rPr>
        <w:t>编制</w:t>
      </w:r>
    </w:p>
    <w:p w14:paraId="58D209C2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供应商应保证响应文件副本与正本、电子文档的内容一致、清晰易读，如果正</w:t>
      </w:r>
      <w:r>
        <w:rPr>
          <w:rFonts w:ascii="仿宋" w:eastAsia="仿宋" w:hAnsi="仿宋" w:hint="eastAsia"/>
          <w:sz w:val="30"/>
          <w:szCs w:val="30"/>
        </w:rPr>
        <w:t>本与副本或电子文档不一致，以正本为准。响应文件正本报价与副本报价不一致的，以响应文件正本为准。响应文件内容不清楚、不齐全、不一致等造成被误读或被视为无效等不利后果由供应商承担。</w:t>
      </w:r>
    </w:p>
    <w:p w14:paraId="0CCD3CDC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6.</w:t>
      </w:r>
      <w:r>
        <w:rPr>
          <w:rFonts w:ascii="仿宋" w:eastAsia="仿宋" w:hAnsi="仿宋" w:hint="eastAsia"/>
          <w:sz w:val="30"/>
          <w:szCs w:val="30"/>
        </w:rPr>
        <w:t>响应</w:t>
      </w:r>
      <w:r>
        <w:rPr>
          <w:rFonts w:ascii="仿宋" w:eastAsia="仿宋" w:hAnsi="仿宋"/>
          <w:sz w:val="30"/>
          <w:szCs w:val="30"/>
        </w:rPr>
        <w:t>文件的递交</w:t>
      </w:r>
    </w:p>
    <w:p w14:paraId="38A46E2F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1</w:t>
      </w:r>
      <w:r>
        <w:rPr>
          <w:rFonts w:ascii="仿宋" w:eastAsia="仿宋" w:hAnsi="仿宋"/>
          <w:sz w:val="30"/>
          <w:szCs w:val="30"/>
        </w:rPr>
        <w:t>）</w:t>
      </w:r>
      <w:r>
        <w:rPr>
          <w:rFonts w:ascii="仿宋" w:eastAsia="仿宋" w:hAnsi="仿宋" w:hint="eastAsia"/>
          <w:sz w:val="30"/>
          <w:szCs w:val="30"/>
        </w:rPr>
        <w:t>响应</w:t>
      </w:r>
      <w:r>
        <w:rPr>
          <w:rFonts w:ascii="仿宋" w:eastAsia="仿宋" w:hAnsi="仿宋"/>
          <w:sz w:val="30"/>
          <w:szCs w:val="30"/>
        </w:rPr>
        <w:t>文件的密封及标记</w:t>
      </w:r>
    </w:p>
    <w:p w14:paraId="1723C5A3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响应文件应按以下方法分别装袋密封：响应文件正副本、电子文档应密封完好，封口处应有法定代表人（或供应商委托代理人）的签字（或盖章）或供应商公章。封皮上写明项目名称、供应商全称、地址；如果供应商未按上述要求对响应文件密封，采购人有权拒绝接收。</w:t>
      </w:r>
    </w:p>
    <w:p w14:paraId="5261B968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）截止时间</w:t>
      </w:r>
    </w:p>
    <w:p w14:paraId="0A12B7A8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响应文件须按照磋商文件规定的时</w:t>
      </w:r>
      <w:r>
        <w:rPr>
          <w:rFonts w:ascii="仿宋" w:eastAsia="仿宋" w:hAnsi="仿宋" w:hint="eastAsia"/>
          <w:sz w:val="30"/>
          <w:szCs w:val="30"/>
        </w:rPr>
        <w:t>间、地点送达。在截止时间以后送达的响应文件，采购人有权拒绝接收。</w:t>
      </w:r>
    </w:p>
    <w:p w14:paraId="0B1C5897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在响应文件提交截止时间之后，供应商不得撤回响应文件。</w:t>
      </w:r>
    </w:p>
    <w:p w14:paraId="597F40F1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（八）其他要求</w:t>
      </w:r>
    </w:p>
    <w:p w14:paraId="01EB3E36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</w:t>
      </w:r>
      <w:r>
        <w:rPr>
          <w:rFonts w:ascii="仿宋" w:eastAsia="仿宋" w:hAnsi="仿宋" w:hint="eastAsia"/>
          <w:sz w:val="30"/>
          <w:szCs w:val="30"/>
        </w:rPr>
        <w:t>供应商应仔细阅读和检查磋商文件的全部内容。如发现缺页或附件不全，应及时向采购人提出，以便补齐。</w:t>
      </w:r>
    </w:p>
    <w:p w14:paraId="38BE5D3B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供应商应认真阅读磋商文件，按磋商内容要求制作响应文件，响应文件出现重大偏差即视为无效申请，下列情况属于重大偏差：</w:t>
      </w:r>
    </w:p>
    <w:p w14:paraId="7A0B8270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）不符合磋商文件中相关要求。</w:t>
      </w:r>
    </w:p>
    <w:p w14:paraId="26980A03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）供应商附有采购人不能接受的条件。</w:t>
      </w:r>
    </w:p>
    <w:p w14:paraId="31C4CA5D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</w:t>
      </w:r>
      <w:r>
        <w:rPr>
          <w:rFonts w:ascii="仿宋" w:eastAsia="仿宋" w:hAnsi="仿宋" w:hint="eastAsia"/>
          <w:sz w:val="30"/>
          <w:szCs w:val="30"/>
        </w:rPr>
        <w:t>供应商需对采购人提供的基础资料、涉密信息严格保密，不得擅自泄露、传播，否则承担相应法律责任。</w:t>
      </w:r>
    </w:p>
    <w:p w14:paraId="6594313E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</w:t>
      </w:r>
      <w:r>
        <w:rPr>
          <w:rFonts w:ascii="仿宋" w:eastAsia="仿宋" w:hAnsi="仿宋" w:hint="eastAsia"/>
          <w:sz w:val="30"/>
          <w:szCs w:val="30"/>
        </w:rPr>
        <w:t>供应商需承诺规划成果不存在知识产权纠纷，若出现侵权问题，由供应商承担全部责任及损失。</w:t>
      </w:r>
    </w:p>
    <w:p w14:paraId="0132011A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</w:t>
      </w:r>
      <w:r>
        <w:rPr>
          <w:rFonts w:ascii="仿宋" w:eastAsia="仿宋" w:hAnsi="仿宋" w:hint="eastAsia"/>
          <w:sz w:val="30"/>
          <w:szCs w:val="30"/>
        </w:rPr>
        <w:t>本项目评标办法采用综合评分法，重点考核供应商资质、业绩、项目团队实力、规划方案合理性、服务承诺、报价合理性等指标。</w:t>
      </w:r>
    </w:p>
    <w:p w14:paraId="7660F34C" w14:textId="77777777" w:rsidR="00035E7D" w:rsidRDefault="00416286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6.</w:t>
      </w:r>
      <w:r>
        <w:rPr>
          <w:rFonts w:ascii="仿宋" w:eastAsia="仿宋" w:hAnsi="仿宋" w:hint="eastAsia"/>
          <w:sz w:val="30"/>
          <w:szCs w:val="30"/>
        </w:rPr>
        <w:t>本项目严禁分包或转包。</w:t>
      </w:r>
    </w:p>
    <w:bookmarkEnd w:id="1"/>
    <w:p w14:paraId="60F8709C" w14:textId="3DADFFD4" w:rsidR="00035E7D" w:rsidRDefault="00035E7D" w:rsidP="009C0EF0">
      <w:pPr>
        <w:rPr>
          <w:rFonts w:ascii="黑体" w:eastAsia="黑体" w:hAnsi="黑体" w:cs="宋体"/>
          <w:b/>
          <w:bCs/>
          <w:kern w:val="0"/>
          <w:sz w:val="36"/>
          <w:szCs w:val="36"/>
        </w:rPr>
      </w:pPr>
    </w:p>
    <w:sectPr w:rsidR="00035E7D">
      <w:footerReference w:type="default" r:id="rId8"/>
      <w:pgSz w:w="11906" w:h="16838"/>
      <w:pgMar w:top="1440" w:right="14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9AF2F" w14:textId="77777777" w:rsidR="00416286" w:rsidRDefault="00416286">
      <w:r>
        <w:separator/>
      </w:r>
    </w:p>
  </w:endnote>
  <w:endnote w:type="continuationSeparator" w:id="0">
    <w:p w14:paraId="64B5F749" w14:textId="77777777" w:rsidR="00416286" w:rsidRDefault="0041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2D47F04-628A-4B21-A1AF-A1AD15B593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6ED41513-C41D-4067-88A4-002A5FB6F3D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856C79F-799B-4AA1-92DF-3F8AB32DF79A}"/>
    <w:embedBold r:id="rId4" w:subsetted="1" w:fontKey="{A23EC391-8ECB-47F9-BD78-EADA7812E3FA}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6DBD" w14:textId="77777777" w:rsidR="00035E7D" w:rsidRDefault="0041628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BE5922" wp14:editId="736E61D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AD4681" w14:textId="77777777" w:rsidR="00035E7D" w:rsidRDefault="00416286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ABE5922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CAD4681" w14:textId="77777777" w:rsidR="00035E7D" w:rsidRDefault="00000000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890B5" w14:textId="77777777" w:rsidR="00416286" w:rsidRDefault="00416286">
      <w:r>
        <w:separator/>
      </w:r>
    </w:p>
  </w:footnote>
  <w:footnote w:type="continuationSeparator" w:id="0">
    <w:p w14:paraId="67EB487A" w14:textId="77777777" w:rsidR="00416286" w:rsidRDefault="00416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20F419"/>
    <w:multiLevelType w:val="singleLevel"/>
    <w:tmpl w:val="8420F41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A9F0597"/>
    <w:multiLevelType w:val="hybridMultilevel"/>
    <w:tmpl w:val="C054D0EC"/>
    <w:lvl w:ilvl="0" w:tplc="8CE83B6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8F"/>
    <w:rsid w:val="00010209"/>
    <w:rsid w:val="000175B7"/>
    <w:rsid w:val="00035E7D"/>
    <w:rsid w:val="0003747B"/>
    <w:rsid w:val="00041141"/>
    <w:rsid w:val="00062C62"/>
    <w:rsid w:val="0007600C"/>
    <w:rsid w:val="00080A0E"/>
    <w:rsid w:val="00090F10"/>
    <w:rsid w:val="00095F7C"/>
    <w:rsid w:val="00097285"/>
    <w:rsid w:val="000A709A"/>
    <w:rsid w:val="00115174"/>
    <w:rsid w:val="0012600D"/>
    <w:rsid w:val="001302FF"/>
    <w:rsid w:val="0015637F"/>
    <w:rsid w:val="0016062E"/>
    <w:rsid w:val="00174910"/>
    <w:rsid w:val="0018456D"/>
    <w:rsid w:val="00186A85"/>
    <w:rsid w:val="00191251"/>
    <w:rsid w:val="001B1EAE"/>
    <w:rsid w:val="001B7379"/>
    <w:rsid w:val="001C44C8"/>
    <w:rsid w:val="001D01B9"/>
    <w:rsid w:val="001D0693"/>
    <w:rsid w:val="001D486F"/>
    <w:rsid w:val="001D7F8E"/>
    <w:rsid w:val="001E49BF"/>
    <w:rsid w:val="001E6F09"/>
    <w:rsid w:val="00205323"/>
    <w:rsid w:val="00257CC9"/>
    <w:rsid w:val="002611F6"/>
    <w:rsid w:val="0026717D"/>
    <w:rsid w:val="0027243C"/>
    <w:rsid w:val="00284BC7"/>
    <w:rsid w:val="002875D9"/>
    <w:rsid w:val="00290149"/>
    <w:rsid w:val="002A5059"/>
    <w:rsid w:val="002A548F"/>
    <w:rsid w:val="002B6D18"/>
    <w:rsid w:val="002D0332"/>
    <w:rsid w:val="003001DE"/>
    <w:rsid w:val="00306F35"/>
    <w:rsid w:val="003227FD"/>
    <w:rsid w:val="00337508"/>
    <w:rsid w:val="00343FEF"/>
    <w:rsid w:val="00344053"/>
    <w:rsid w:val="003445BC"/>
    <w:rsid w:val="003445F9"/>
    <w:rsid w:val="00352864"/>
    <w:rsid w:val="00366340"/>
    <w:rsid w:val="00374F5C"/>
    <w:rsid w:val="0038653E"/>
    <w:rsid w:val="003A14E3"/>
    <w:rsid w:val="003B6BCE"/>
    <w:rsid w:val="003D3566"/>
    <w:rsid w:val="003F5DB8"/>
    <w:rsid w:val="00405E06"/>
    <w:rsid w:val="00416286"/>
    <w:rsid w:val="004168CB"/>
    <w:rsid w:val="00435B8E"/>
    <w:rsid w:val="00442DE1"/>
    <w:rsid w:val="0045279A"/>
    <w:rsid w:val="0045380D"/>
    <w:rsid w:val="00454AB0"/>
    <w:rsid w:val="00482955"/>
    <w:rsid w:val="00495FE8"/>
    <w:rsid w:val="00497B19"/>
    <w:rsid w:val="004B0DDE"/>
    <w:rsid w:val="004D4989"/>
    <w:rsid w:val="004D691C"/>
    <w:rsid w:val="004D7164"/>
    <w:rsid w:val="004E5113"/>
    <w:rsid w:val="004F3D6E"/>
    <w:rsid w:val="004F4FBC"/>
    <w:rsid w:val="004F76C2"/>
    <w:rsid w:val="004F7738"/>
    <w:rsid w:val="00502179"/>
    <w:rsid w:val="00503C09"/>
    <w:rsid w:val="00510C0A"/>
    <w:rsid w:val="0051471F"/>
    <w:rsid w:val="00536222"/>
    <w:rsid w:val="00546F6A"/>
    <w:rsid w:val="00557EFD"/>
    <w:rsid w:val="005600F1"/>
    <w:rsid w:val="00567FE5"/>
    <w:rsid w:val="00582A2A"/>
    <w:rsid w:val="00587477"/>
    <w:rsid w:val="00590086"/>
    <w:rsid w:val="005911A8"/>
    <w:rsid w:val="005A6BCA"/>
    <w:rsid w:val="005B2BDD"/>
    <w:rsid w:val="005B37B6"/>
    <w:rsid w:val="005C38D8"/>
    <w:rsid w:val="005C4528"/>
    <w:rsid w:val="005D4EAA"/>
    <w:rsid w:val="005F753C"/>
    <w:rsid w:val="00600C32"/>
    <w:rsid w:val="00604838"/>
    <w:rsid w:val="00610230"/>
    <w:rsid w:val="00614DC1"/>
    <w:rsid w:val="00624971"/>
    <w:rsid w:val="00626299"/>
    <w:rsid w:val="0063070E"/>
    <w:rsid w:val="00632A65"/>
    <w:rsid w:val="00633A05"/>
    <w:rsid w:val="00637154"/>
    <w:rsid w:val="0066230C"/>
    <w:rsid w:val="00674750"/>
    <w:rsid w:val="006870EA"/>
    <w:rsid w:val="0069036D"/>
    <w:rsid w:val="006B2621"/>
    <w:rsid w:val="006B518F"/>
    <w:rsid w:val="006B7A86"/>
    <w:rsid w:val="006D35A4"/>
    <w:rsid w:val="006E0B8E"/>
    <w:rsid w:val="006E169F"/>
    <w:rsid w:val="006F510F"/>
    <w:rsid w:val="00700D85"/>
    <w:rsid w:val="00704673"/>
    <w:rsid w:val="0071134C"/>
    <w:rsid w:val="00747A4B"/>
    <w:rsid w:val="007717E6"/>
    <w:rsid w:val="0077740F"/>
    <w:rsid w:val="00781ABF"/>
    <w:rsid w:val="00781D18"/>
    <w:rsid w:val="007A0419"/>
    <w:rsid w:val="007A1C4C"/>
    <w:rsid w:val="007B427B"/>
    <w:rsid w:val="007C73DD"/>
    <w:rsid w:val="007C770D"/>
    <w:rsid w:val="00806713"/>
    <w:rsid w:val="008368A0"/>
    <w:rsid w:val="0085654C"/>
    <w:rsid w:val="00862FF6"/>
    <w:rsid w:val="00865CC3"/>
    <w:rsid w:val="00867E25"/>
    <w:rsid w:val="00873764"/>
    <w:rsid w:val="008867CF"/>
    <w:rsid w:val="008A0B18"/>
    <w:rsid w:val="008A5991"/>
    <w:rsid w:val="008A6A76"/>
    <w:rsid w:val="008A79B4"/>
    <w:rsid w:val="008B4B77"/>
    <w:rsid w:val="008C19A2"/>
    <w:rsid w:val="008C604B"/>
    <w:rsid w:val="008D7AFB"/>
    <w:rsid w:val="008F545F"/>
    <w:rsid w:val="00911ED9"/>
    <w:rsid w:val="0092085E"/>
    <w:rsid w:val="00921ABC"/>
    <w:rsid w:val="009334FD"/>
    <w:rsid w:val="009372CC"/>
    <w:rsid w:val="00952DE1"/>
    <w:rsid w:val="00966EC0"/>
    <w:rsid w:val="00970456"/>
    <w:rsid w:val="00982EDD"/>
    <w:rsid w:val="00994ABF"/>
    <w:rsid w:val="009B22AD"/>
    <w:rsid w:val="009C0EF0"/>
    <w:rsid w:val="009D0C3D"/>
    <w:rsid w:val="009D1A5C"/>
    <w:rsid w:val="009D7E06"/>
    <w:rsid w:val="009E0621"/>
    <w:rsid w:val="009E2D67"/>
    <w:rsid w:val="009F2E49"/>
    <w:rsid w:val="009F4B26"/>
    <w:rsid w:val="009F509E"/>
    <w:rsid w:val="00A32418"/>
    <w:rsid w:val="00A35DFA"/>
    <w:rsid w:val="00A513E7"/>
    <w:rsid w:val="00A64A8D"/>
    <w:rsid w:val="00A722DE"/>
    <w:rsid w:val="00A7615A"/>
    <w:rsid w:val="00A81B72"/>
    <w:rsid w:val="00A833BF"/>
    <w:rsid w:val="00A93610"/>
    <w:rsid w:val="00AA607B"/>
    <w:rsid w:val="00AB085A"/>
    <w:rsid w:val="00AB1C33"/>
    <w:rsid w:val="00AB3F68"/>
    <w:rsid w:val="00AB5CFB"/>
    <w:rsid w:val="00AC5584"/>
    <w:rsid w:val="00AC650B"/>
    <w:rsid w:val="00AE557C"/>
    <w:rsid w:val="00AF15C4"/>
    <w:rsid w:val="00B02945"/>
    <w:rsid w:val="00B076B6"/>
    <w:rsid w:val="00B14E30"/>
    <w:rsid w:val="00B15B14"/>
    <w:rsid w:val="00B21E45"/>
    <w:rsid w:val="00B46CF6"/>
    <w:rsid w:val="00B65A92"/>
    <w:rsid w:val="00B663AD"/>
    <w:rsid w:val="00B73A75"/>
    <w:rsid w:val="00B97464"/>
    <w:rsid w:val="00BA540D"/>
    <w:rsid w:val="00BB7526"/>
    <w:rsid w:val="00BC098B"/>
    <w:rsid w:val="00BC782B"/>
    <w:rsid w:val="00BD63F3"/>
    <w:rsid w:val="00BE32D9"/>
    <w:rsid w:val="00BE4BEE"/>
    <w:rsid w:val="00BF1A60"/>
    <w:rsid w:val="00BF2C39"/>
    <w:rsid w:val="00C0701F"/>
    <w:rsid w:val="00C13DF4"/>
    <w:rsid w:val="00C15490"/>
    <w:rsid w:val="00C33775"/>
    <w:rsid w:val="00C57900"/>
    <w:rsid w:val="00C6175F"/>
    <w:rsid w:val="00C94E14"/>
    <w:rsid w:val="00CB21CE"/>
    <w:rsid w:val="00CD4007"/>
    <w:rsid w:val="00CD465D"/>
    <w:rsid w:val="00CD5C0D"/>
    <w:rsid w:val="00CE53D6"/>
    <w:rsid w:val="00CE5592"/>
    <w:rsid w:val="00D10E5C"/>
    <w:rsid w:val="00D36A39"/>
    <w:rsid w:val="00D40D91"/>
    <w:rsid w:val="00D43ADE"/>
    <w:rsid w:val="00D52BEA"/>
    <w:rsid w:val="00D52C56"/>
    <w:rsid w:val="00D7374B"/>
    <w:rsid w:val="00D779D9"/>
    <w:rsid w:val="00DA56D4"/>
    <w:rsid w:val="00DE1001"/>
    <w:rsid w:val="00DE533B"/>
    <w:rsid w:val="00DF12CB"/>
    <w:rsid w:val="00DF5C30"/>
    <w:rsid w:val="00E15EC8"/>
    <w:rsid w:val="00E22B61"/>
    <w:rsid w:val="00E23E6D"/>
    <w:rsid w:val="00E2786E"/>
    <w:rsid w:val="00E328F3"/>
    <w:rsid w:val="00E41C6F"/>
    <w:rsid w:val="00E46B4D"/>
    <w:rsid w:val="00E51830"/>
    <w:rsid w:val="00E82D12"/>
    <w:rsid w:val="00E82EBF"/>
    <w:rsid w:val="00E85C96"/>
    <w:rsid w:val="00E865C2"/>
    <w:rsid w:val="00E93FCF"/>
    <w:rsid w:val="00EA28F8"/>
    <w:rsid w:val="00EB1AD7"/>
    <w:rsid w:val="00EC5739"/>
    <w:rsid w:val="00EF5B99"/>
    <w:rsid w:val="00EF798C"/>
    <w:rsid w:val="00F0061D"/>
    <w:rsid w:val="00F00D0C"/>
    <w:rsid w:val="00F078B7"/>
    <w:rsid w:val="00F15C6A"/>
    <w:rsid w:val="00F16395"/>
    <w:rsid w:val="00F373E2"/>
    <w:rsid w:val="00F37778"/>
    <w:rsid w:val="00F4059E"/>
    <w:rsid w:val="00F5670A"/>
    <w:rsid w:val="00F6334A"/>
    <w:rsid w:val="00F668B9"/>
    <w:rsid w:val="00F86607"/>
    <w:rsid w:val="00F874D9"/>
    <w:rsid w:val="00FA1D83"/>
    <w:rsid w:val="00FA6095"/>
    <w:rsid w:val="00FB0042"/>
    <w:rsid w:val="00FC7CA8"/>
    <w:rsid w:val="018C519F"/>
    <w:rsid w:val="03B409DD"/>
    <w:rsid w:val="051A7942"/>
    <w:rsid w:val="05BF25BC"/>
    <w:rsid w:val="05F15AA4"/>
    <w:rsid w:val="07683FB9"/>
    <w:rsid w:val="09B5725D"/>
    <w:rsid w:val="0A344626"/>
    <w:rsid w:val="0AB12F85"/>
    <w:rsid w:val="0B7F7B23"/>
    <w:rsid w:val="0CA567CC"/>
    <w:rsid w:val="0D9D1FC6"/>
    <w:rsid w:val="0DBE0DD6"/>
    <w:rsid w:val="0EEC54CF"/>
    <w:rsid w:val="0F041CC7"/>
    <w:rsid w:val="101A42BE"/>
    <w:rsid w:val="11A726EA"/>
    <w:rsid w:val="12460090"/>
    <w:rsid w:val="161812A0"/>
    <w:rsid w:val="172E32FA"/>
    <w:rsid w:val="1764541E"/>
    <w:rsid w:val="17D17958"/>
    <w:rsid w:val="17DC253A"/>
    <w:rsid w:val="188E635B"/>
    <w:rsid w:val="1A696E5D"/>
    <w:rsid w:val="1A8E3160"/>
    <w:rsid w:val="1BED0AD9"/>
    <w:rsid w:val="1DAE5CCC"/>
    <w:rsid w:val="1FA557E8"/>
    <w:rsid w:val="21C94C2A"/>
    <w:rsid w:val="220152DE"/>
    <w:rsid w:val="23040BE2"/>
    <w:rsid w:val="25C32FD6"/>
    <w:rsid w:val="28B46868"/>
    <w:rsid w:val="299E0389"/>
    <w:rsid w:val="2AB949A8"/>
    <w:rsid w:val="2AC3762A"/>
    <w:rsid w:val="2BE14912"/>
    <w:rsid w:val="2CDB3563"/>
    <w:rsid w:val="2E832B2F"/>
    <w:rsid w:val="2FD302BA"/>
    <w:rsid w:val="2FE05A55"/>
    <w:rsid w:val="306B6744"/>
    <w:rsid w:val="32AD0E35"/>
    <w:rsid w:val="332901F1"/>
    <w:rsid w:val="342E3EA7"/>
    <w:rsid w:val="3476022F"/>
    <w:rsid w:val="353C245D"/>
    <w:rsid w:val="354457B6"/>
    <w:rsid w:val="35F01ABE"/>
    <w:rsid w:val="360E0E27"/>
    <w:rsid w:val="36266C69"/>
    <w:rsid w:val="363D25DC"/>
    <w:rsid w:val="364041CF"/>
    <w:rsid w:val="3A555D6F"/>
    <w:rsid w:val="3ADE61A4"/>
    <w:rsid w:val="3BC768BF"/>
    <w:rsid w:val="3D2A5B39"/>
    <w:rsid w:val="3DF50C15"/>
    <w:rsid w:val="3E7E3AE6"/>
    <w:rsid w:val="41401527"/>
    <w:rsid w:val="41B6041E"/>
    <w:rsid w:val="41C30E98"/>
    <w:rsid w:val="41E77BF5"/>
    <w:rsid w:val="42414588"/>
    <w:rsid w:val="42EE2C96"/>
    <w:rsid w:val="430F5BCF"/>
    <w:rsid w:val="43215C2A"/>
    <w:rsid w:val="46B130B0"/>
    <w:rsid w:val="473C343F"/>
    <w:rsid w:val="477365AE"/>
    <w:rsid w:val="481C50E8"/>
    <w:rsid w:val="481E1E96"/>
    <w:rsid w:val="481F68E5"/>
    <w:rsid w:val="484C255F"/>
    <w:rsid w:val="486474F0"/>
    <w:rsid w:val="49A32653"/>
    <w:rsid w:val="4BFD4955"/>
    <w:rsid w:val="4E04568A"/>
    <w:rsid w:val="4E1C6E78"/>
    <w:rsid w:val="4F383DCD"/>
    <w:rsid w:val="4F8D5015"/>
    <w:rsid w:val="50C03AEB"/>
    <w:rsid w:val="51C70EA9"/>
    <w:rsid w:val="51E66E2C"/>
    <w:rsid w:val="52C13B4A"/>
    <w:rsid w:val="54754BEC"/>
    <w:rsid w:val="54DC7B88"/>
    <w:rsid w:val="55DB3175"/>
    <w:rsid w:val="56D976B4"/>
    <w:rsid w:val="57FB365A"/>
    <w:rsid w:val="59134F7D"/>
    <w:rsid w:val="5B2F35F7"/>
    <w:rsid w:val="607946F3"/>
    <w:rsid w:val="61532759"/>
    <w:rsid w:val="61CF5A79"/>
    <w:rsid w:val="625673B5"/>
    <w:rsid w:val="62AC2121"/>
    <w:rsid w:val="62E93375"/>
    <w:rsid w:val="632443AD"/>
    <w:rsid w:val="658A4BFB"/>
    <w:rsid w:val="66241666"/>
    <w:rsid w:val="665051E6"/>
    <w:rsid w:val="69211128"/>
    <w:rsid w:val="6CCB5D8F"/>
    <w:rsid w:val="6F0155A2"/>
    <w:rsid w:val="6F655B31"/>
    <w:rsid w:val="6FF45E89"/>
    <w:rsid w:val="7302635B"/>
    <w:rsid w:val="782C7B34"/>
    <w:rsid w:val="783312F5"/>
    <w:rsid w:val="794B28F1"/>
    <w:rsid w:val="79DF6760"/>
    <w:rsid w:val="7A5848DB"/>
    <w:rsid w:val="7BD902DC"/>
    <w:rsid w:val="7C137A39"/>
    <w:rsid w:val="7C1C7327"/>
    <w:rsid w:val="7C74150A"/>
    <w:rsid w:val="7DAC7021"/>
    <w:rsid w:val="7E05379E"/>
    <w:rsid w:val="7F5E434B"/>
    <w:rsid w:val="7FDC2637"/>
    <w:rsid w:val="7FE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5F5659"/>
  <w15:docId w15:val="{B2FFE420-6BCF-446C-8803-76223CF7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80" w:after="290" w:line="376" w:lineRule="atLeast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Plain Text"/>
    <w:basedOn w:val="a"/>
    <w:qFormat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 w:hAnsi="Courier New"/>
      <w:kern w:val="0"/>
      <w:szCs w:val="21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Strong"/>
    <w:basedOn w:val="a0"/>
    <w:qFormat/>
    <w:rPr>
      <w:b/>
    </w:rPr>
  </w:style>
  <w:style w:type="character" w:styleId="ae">
    <w:name w:val="Hyperlink"/>
    <w:uiPriority w:val="99"/>
    <w:qFormat/>
    <w:rPr>
      <w:rFonts w:cs="Times New Roman"/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  <w:style w:type="paragraph" w:customStyle="1" w:styleId="af1">
    <w:name w:val="正文内容"/>
    <w:basedOn w:val="a"/>
    <w:qFormat/>
    <w:pPr>
      <w:spacing w:line="400" w:lineRule="exact"/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next w:val="a"/>
    <w:qFormat/>
    <w:pPr>
      <w:widowControl w:val="0"/>
      <w:autoSpaceDE w:val="0"/>
      <w:autoSpaceDN w:val="0"/>
      <w:adjustRightInd w:val="0"/>
    </w:pPr>
    <w:rPr>
      <w:rFonts w:ascii="宋体"/>
      <w:color w:val="000000"/>
      <w:sz w:val="24"/>
      <w:szCs w:val="24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sun</cp:lastModifiedBy>
  <cp:revision>5</cp:revision>
  <cp:lastPrinted>2025-09-19T01:50:00Z</cp:lastPrinted>
  <dcterms:created xsi:type="dcterms:W3CDTF">2026-03-18T12:15:00Z</dcterms:created>
  <dcterms:modified xsi:type="dcterms:W3CDTF">2026-03-18T12:27:00Z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AE9DF29146B8447683607DCD983E6545_13</vt:lpwstr>
  </property>
  <property fmtid="{D5CDD505-2E9C-101B-9397-08002B2CF9AE}" pid="4" name="KSOTemplateDocerSaveRecord">
    <vt:lpwstr>eyJoZGlkIjoiMWY2NGRhZDVjZjE5MjQ5ZGRmYjAzOTY3YzFjMjE0MTgiLCJ1c2VySWQiOiIzNjMzNTY5MjcifQ==</vt:lpwstr>
  </property>
</Properties>
</file>